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0D8F" w:rsidRDefault="000B41DE">
      <w:pPr>
        <w:pStyle w:val="Standard"/>
        <w:spacing w:line="360" w:lineRule="auto"/>
        <w:jc w:val="both"/>
        <w:rPr>
          <w:rFonts w:ascii="Calibri" w:hAnsi="Calibri" w:cs="Calibri"/>
          <w:b/>
          <w:bCs/>
          <w:sz w:val="22"/>
          <w:szCs w:val="22"/>
        </w:rPr>
      </w:pPr>
      <w:bookmarkStart w:id="0" w:name="_GoBack"/>
      <w:r>
        <w:rPr>
          <w:rFonts w:ascii="Calibri" w:hAnsi="Calibri" w:cs="Calibri"/>
          <w:b/>
          <w:bCs/>
          <w:sz w:val="22"/>
          <w:szCs w:val="22"/>
        </w:rPr>
        <w:t>Ustawa o ochronie sygnalistów</w:t>
      </w:r>
    </w:p>
    <w:bookmarkEnd w:id="0"/>
    <w:p w:rsidR="00270D8F" w:rsidRDefault="00270D8F">
      <w:pPr>
        <w:pStyle w:val="Standard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270D8F" w:rsidRDefault="000B41DE">
      <w:pPr>
        <w:pStyle w:val="Standard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Od 25 września 2024 roku, wszystkie podmioty sektora publicznego i prywatnego zatrudniające co najmniej 50 osób muszą ustanowić procedury zgłoszeń </w:t>
      </w:r>
      <w:r>
        <w:rPr>
          <w:rFonts w:ascii="Calibri" w:hAnsi="Calibri" w:cs="Calibri"/>
          <w:sz w:val="22"/>
          <w:szCs w:val="22"/>
        </w:rPr>
        <w:t>wewnętrznych. Obejmuje to systemy przyjmowania zgłoszeń, prowadzenia działań następczych oraz ochrony sygnalistów. Z kolei od 25 grudnia 2024 roku, obowiązywać będą przepisy dotyczące zgłoszeń zewnętrznych, które będą przyjmowane przez Rzecznika Praw Obywa</w:t>
      </w:r>
      <w:r>
        <w:rPr>
          <w:rFonts w:ascii="Calibri" w:hAnsi="Calibri" w:cs="Calibri"/>
          <w:sz w:val="22"/>
          <w:szCs w:val="22"/>
        </w:rPr>
        <w:t>telskich oraz inne organy publiczne.</w:t>
      </w:r>
    </w:p>
    <w:p w:rsidR="00270D8F" w:rsidRDefault="00270D8F">
      <w:pPr>
        <w:pStyle w:val="Standard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270D8F" w:rsidRDefault="000B41DE">
      <w:pPr>
        <w:pStyle w:val="Standard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Ustawa reguluje przede wszystkim warunki objęcia ochroną sygnalistów zgłaszających lub ujawniających publicznie informacje o naruszeniach prawa, środki ochrony sygnalistów, w tym zasady ustalania wewnętrznej procedury </w:t>
      </w:r>
      <w:r>
        <w:rPr>
          <w:rFonts w:ascii="Calibri" w:hAnsi="Calibri" w:cs="Calibri"/>
          <w:sz w:val="22"/>
          <w:szCs w:val="22"/>
        </w:rPr>
        <w:t>zgłaszania informacji o naruszeniach prawa i podejmowania działań następczych oraz zasady zgłaszania informacji o naruszeniach prawa organowi publicznemu oraz ujawnienia publicznego informacji o naruszeniach prawa.</w:t>
      </w:r>
    </w:p>
    <w:p w:rsidR="00270D8F" w:rsidRDefault="00270D8F">
      <w:pPr>
        <w:pStyle w:val="Standard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270D8F" w:rsidRDefault="000B41DE">
      <w:pPr>
        <w:pStyle w:val="Standard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Ochrona przysługuje sygnalistom niezależ</w:t>
      </w:r>
      <w:r>
        <w:rPr>
          <w:rFonts w:ascii="Calibri" w:hAnsi="Calibri" w:cs="Calibri"/>
          <w:sz w:val="22"/>
          <w:szCs w:val="22"/>
        </w:rPr>
        <w:t>nie od formy świadczenia pracy lub pełnienia służby, obejmując również osoby pomagające w dokonaniu zgłoszenia oraz osoby powiązane z sygnalistą.</w:t>
      </w:r>
    </w:p>
    <w:p w:rsidR="00270D8F" w:rsidRDefault="000B41DE">
      <w:pPr>
        <w:pStyle w:val="Standard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Sygnalista podlega ochronie określonej w przepisach od chwili dokonania zgłoszenia lub ujawnienia publicznego,</w:t>
      </w:r>
      <w:r>
        <w:rPr>
          <w:rFonts w:ascii="Calibri" w:hAnsi="Calibri" w:cs="Calibri"/>
          <w:sz w:val="22"/>
          <w:szCs w:val="22"/>
        </w:rPr>
        <w:t xml:space="preserve"> pod warunkiem że miał uzasadnione podstawy sądzić, iż informacja będąca przedmiotem zgłoszenia lub ujawnienia publicznego jest prawdziwa w momencie dokonywania zgłoszenia lub ujawnienia publicznego i że stanowi informację o naruszeniu prawa.</w:t>
      </w:r>
    </w:p>
    <w:p w:rsidR="00270D8F" w:rsidRDefault="00270D8F">
      <w:pPr>
        <w:pStyle w:val="Standard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270D8F" w:rsidRDefault="000B41DE">
      <w:pPr>
        <w:pStyle w:val="Standard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Podmioty pra</w:t>
      </w:r>
      <w:r>
        <w:rPr>
          <w:rFonts w:ascii="Calibri" w:hAnsi="Calibri" w:cs="Calibri"/>
          <w:sz w:val="22"/>
          <w:szCs w:val="22"/>
        </w:rPr>
        <w:t>wne zatrudniające co najmniej 50 osób są zobowiązane do ustanowienia procedur zgłoszeń wewnętrznych i podejmowania działań następczych. W sektorze finansowym obowiązek ten dotyczy wszystkich podmiotów, niezależnie od liczby zatrudnionych.</w:t>
      </w:r>
    </w:p>
    <w:p w:rsidR="00270D8F" w:rsidRDefault="00270D8F">
      <w:pPr>
        <w:pStyle w:val="Standard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270D8F" w:rsidRDefault="000B41DE">
      <w:pPr>
        <w:pStyle w:val="Standard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Procedura zgłosz</w:t>
      </w:r>
      <w:r>
        <w:rPr>
          <w:rFonts w:ascii="Calibri" w:hAnsi="Calibri" w:cs="Calibri"/>
          <w:sz w:val="22"/>
          <w:szCs w:val="22"/>
        </w:rPr>
        <w:t>eń wewnętrznych powinna określać w szczególności wewnętrzną jednostkę organizacyjną lub osobę w ramach struktury organizacyjnej podmiotu prawnego, lub podmiot zewnętrzny, upoważnione przez podmiot prawny do przyjmowania zgłoszeń wewnętrznych, sposoby przek</w:t>
      </w:r>
      <w:r>
        <w:rPr>
          <w:rFonts w:ascii="Calibri" w:hAnsi="Calibri" w:cs="Calibri"/>
          <w:sz w:val="22"/>
          <w:szCs w:val="22"/>
        </w:rPr>
        <w:t>azywania zgłoszeń wewnętrznych przez sygnalistę wraz z jego adresem korespondencyjnym lub adresem poczty elektronicznej, bezstronną wewnętrzną jednostkę organizacyjną lub osobę w ramach struktury organizacyjnej podmiotu prawnego, upoważnione do podejmowani</w:t>
      </w:r>
      <w:r>
        <w:rPr>
          <w:rFonts w:ascii="Calibri" w:hAnsi="Calibri" w:cs="Calibri"/>
          <w:sz w:val="22"/>
          <w:szCs w:val="22"/>
        </w:rPr>
        <w:t>a działań następczych, włączając w to weryfikację zgłoszenia wewnętrznego i dalszą komunikację z sygnalistą, w tym występowanie o dodatkowe informacje i przekazywanie sygnaliście informacji zwrotnej; funkcję tę może pełnić wewnętrzna jednostka organizacyjn</w:t>
      </w:r>
      <w:r>
        <w:rPr>
          <w:rFonts w:ascii="Calibri" w:hAnsi="Calibri" w:cs="Calibri"/>
          <w:sz w:val="22"/>
          <w:szCs w:val="22"/>
        </w:rPr>
        <w:t>a lub osoba, o których mowa w pkt 1, jeżeli zapewniają bezstronność; tryb postępowania z informacjami o naruszeniach prawa zgłoszonymi anonimowo; obowiązek potwierdzenia sygnaliście przyjęcia zgłoszenia wewnętrznego w terminie 7 dni od dnia jego otrzymania</w:t>
      </w:r>
      <w:r>
        <w:rPr>
          <w:rFonts w:ascii="Calibri" w:hAnsi="Calibri" w:cs="Calibri"/>
          <w:sz w:val="22"/>
          <w:szCs w:val="22"/>
        </w:rPr>
        <w:t xml:space="preserve">, chyba że sygnalista nie podał adresu do kontaktu, </w:t>
      </w:r>
      <w:r>
        <w:rPr>
          <w:rFonts w:ascii="Calibri" w:hAnsi="Calibri" w:cs="Calibri"/>
          <w:sz w:val="22"/>
          <w:szCs w:val="22"/>
        </w:rPr>
        <w:lastRenderedPageBreak/>
        <w:t>na który należy przekazać potwierdzenie; obowiązek podjęcia, z zachowaniem należytej staranności, działań następczych przez wewnętrzną jednostkę organizacyjną lub osobę wyznaczoną do rozpatrywania zgłosze</w:t>
      </w:r>
      <w:r>
        <w:rPr>
          <w:rFonts w:ascii="Calibri" w:hAnsi="Calibri" w:cs="Calibri"/>
          <w:sz w:val="22"/>
          <w:szCs w:val="22"/>
        </w:rPr>
        <w:t>ń; maksymalny termin na przekazanie sygnaliście informacji zwrotnej, nieprzekraczający 3 miesięcy od dnia potwierdzenia przyjęcia zgłoszenia wewnętrznego, chyba że sygnalista nie podał adresu do kontaktu, na który należy przekazać informację zwrotną; zrozu</w:t>
      </w:r>
      <w:r>
        <w:rPr>
          <w:rFonts w:ascii="Calibri" w:hAnsi="Calibri" w:cs="Calibri"/>
          <w:sz w:val="22"/>
          <w:szCs w:val="22"/>
        </w:rPr>
        <w:t>miałe i łatwo dostępne informacje na temat dokonywania zgłoszeń zewnętrznych do Rzecznika Praw Obywatelskich albo organów publicznych oraz - w stosownych przypadkach - do instytucji, organów lub jednostek organizacyjnych Unii Europejskiej.</w:t>
      </w:r>
    </w:p>
    <w:p w:rsidR="00270D8F" w:rsidRDefault="00270D8F">
      <w:pPr>
        <w:pStyle w:val="Standard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270D8F" w:rsidRDefault="000B41DE">
      <w:pPr>
        <w:pStyle w:val="Standard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Sposoby przekaz</w:t>
      </w:r>
      <w:r>
        <w:rPr>
          <w:rFonts w:ascii="Calibri" w:hAnsi="Calibri" w:cs="Calibri"/>
          <w:sz w:val="22"/>
          <w:szCs w:val="22"/>
        </w:rPr>
        <w:t>ywania zgłoszeń wewnętrznych muszą obejmować co najmniej możliwość dokonywania zgłoszeń ustnie lub pisemnie.</w:t>
      </w:r>
    </w:p>
    <w:p w:rsidR="00270D8F" w:rsidRDefault="00270D8F">
      <w:pPr>
        <w:pStyle w:val="Standard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270D8F" w:rsidRDefault="000B41DE">
      <w:pPr>
        <w:pStyle w:val="Standard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 naruszenie ustawy o ochronie sygnalistów pracodawcom grożą surowe sankcje, w tym:</w:t>
      </w:r>
    </w:p>
    <w:p w:rsidR="00270D8F" w:rsidRDefault="00270D8F">
      <w:pPr>
        <w:pStyle w:val="Standard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270D8F" w:rsidRDefault="000B41DE">
      <w:pPr>
        <w:pStyle w:val="Standard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grzywna: pracodawcy mogą zostać ukarani grzywną za nieprze</w:t>
      </w:r>
      <w:r>
        <w:rPr>
          <w:rFonts w:ascii="Calibri" w:hAnsi="Calibri" w:cs="Calibri"/>
          <w:sz w:val="22"/>
          <w:szCs w:val="22"/>
        </w:rPr>
        <w:t>strzeganie przepisów ustawy, takich jak brak ustanowienia wewnętrznej procedury zgłaszania naruszeń lub naruszenie obowiązku zachowania poufności tożsamości sygnalisty;</w:t>
      </w:r>
    </w:p>
    <w:p w:rsidR="00270D8F" w:rsidRDefault="000B41DE">
      <w:pPr>
        <w:pStyle w:val="Standard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kara ograniczenia wolności: w przypadku poważniejszych naruszeń, takich jak podejmowa</w:t>
      </w:r>
      <w:r>
        <w:rPr>
          <w:rFonts w:ascii="Calibri" w:hAnsi="Calibri" w:cs="Calibri"/>
          <w:sz w:val="22"/>
          <w:szCs w:val="22"/>
        </w:rPr>
        <w:t>nie działań odwetowych wobec sygnalistów, pracodawcy mogą zostać skazani na karę ograniczenia wolności;</w:t>
      </w:r>
    </w:p>
    <w:p w:rsidR="00270D8F" w:rsidRDefault="000B41DE">
      <w:pPr>
        <w:pStyle w:val="Standard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kara pozbawienia wolności: najcięższe naruszenia, takie jak utrudnianie dokonania zgłoszenia lub podejmowanie bezprawnych działań odwetowych, mogą sku</w:t>
      </w:r>
      <w:r>
        <w:rPr>
          <w:rFonts w:ascii="Calibri" w:hAnsi="Calibri" w:cs="Calibri"/>
          <w:sz w:val="22"/>
          <w:szCs w:val="22"/>
        </w:rPr>
        <w:t>tkować karą pozbawienia wolności do trzech lat.</w:t>
      </w:r>
    </w:p>
    <w:p w:rsidR="00270D8F" w:rsidRDefault="000B41DE">
      <w:pPr>
        <w:pStyle w:val="Standard"/>
        <w:spacing w:line="360" w:lineRule="auto"/>
        <w:jc w:val="right"/>
        <w:rPr>
          <w:rFonts w:ascii="Calibri" w:hAnsi="Calibri" w:cs="Calibri"/>
          <w:b/>
          <w:i/>
          <w:sz w:val="22"/>
          <w:szCs w:val="22"/>
        </w:rPr>
      </w:pPr>
      <w:r>
        <w:rPr>
          <w:rFonts w:ascii="Calibri" w:hAnsi="Calibri" w:cs="Calibri"/>
          <w:b/>
          <w:i/>
          <w:sz w:val="22"/>
          <w:szCs w:val="22"/>
        </w:rPr>
        <w:t>Wiktor Krukowski</w:t>
      </w:r>
    </w:p>
    <w:p w:rsidR="00270D8F" w:rsidRDefault="000B41DE">
      <w:pPr>
        <w:pStyle w:val="Standard"/>
        <w:spacing w:line="360" w:lineRule="auto"/>
        <w:jc w:val="right"/>
        <w:rPr>
          <w:rFonts w:ascii="Calibri" w:hAnsi="Calibri" w:cs="Calibri"/>
          <w:b/>
          <w:i/>
          <w:sz w:val="22"/>
          <w:szCs w:val="22"/>
        </w:rPr>
      </w:pPr>
      <w:r>
        <w:rPr>
          <w:rFonts w:ascii="Calibri" w:hAnsi="Calibri" w:cs="Calibri"/>
          <w:b/>
          <w:i/>
          <w:sz w:val="22"/>
          <w:szCs w:val="22"/>
        </w:rPr>
        <w:t>Prawnik Zarządu Regionu</w:t>
      </w:r>
    </w:p>
    <w:p w:rsidR="00270D8F" w:rsidRDefault="00270D8F">
      <w:pPr>
        <w:pStyle w:val="Standard"/>
        <w:spacing w:line="360" w:lineRule="auto"/>
        <w:rPr>
          <w:rFonts w:ascii="Garamond" w:hAnsi="Garamond"/>
        </w:rPr>
      </w:pPr>
    </w:p>
    <w:p w:rsidR="00270D8F" w:rsidRDefault="00270D8F">
      <w:pPr>
        <w:pStyle w:val="Standard"/>
        <w:spacing w:line="360" w:lineRule="auto"/>
        <w:rPr>
          <w:rFonts w:ascii="Garamond" w:hAnsi="Garamond"/>
          <w:b/>
        </w:rPr>
      </w:pPr>
    </w:p>
    <w:p w:rsidR="00270D8F" w:rsidRDefault="00270D8F">
      <w:pPr>
        <w:pStyle w:val="Standard"/>
        <w:spacing w:line="360" w:lineRule="auto"/>
        <w:rPr>
          <w:rFonts w:ascii="Garamond" w:hAnsi="Garamond"/>
        </w:rPr>
      </w:pPr>
    </w:p>
    <w:p w:rsidR="00270D8F" w:rsidRDefault="00270D8F">
      <w:pPr>
        <w:pStyle w:val="Standard"/>
        <w:spacing w:line="360" w:lineRule="auto"/>
        <w:rPr>
          <w:rFonts w:ascii="Garamond" w:hAnsi="Garamond"/>
        </w:rPr>
      </w:pPr>
    </w:p>
    <w:p w:rsidR="00270D8F" w:rsidRDefault="00270D8F">
      <w:pPr>
        <w:pStyle w:val="Standard"/>
        <w:spacing w:line="360" w:lineRule="auto"/>
        <w:rPr>
          <w:rFonts w:ascii="Garamond" w:hAnsi="Garamond"/>
        </w:rPr>
      </w:pPr>
    </w:p>
    <w:p w:rsidR="00270D8F" w:rsidRDefault="00270D8F">
      <w:pPr>
        <w:pStyle w:val="Standard"/>
        <w:spacing w:line="360" w:lineRule="auto"/>
        <w:rPr>
          <w:rFonts w:ascii="Garamond" w:hAnsi="Garamond"/>
        </w:rPr>
      </w:pPr>
    </w:p>
    <w:p w:rsidR="00270D8F" w:rsidRDefault="00270D8F">
      <w:pPr>
        <w:pStyle w:val="Standard"/>
        <w:spacing w:line="360" w:lineRule="auto"/>
        <w:rPr>
          <w:rFonts w:ascii="Garamond" w:hAnsi="Garamond"/>
        </w:rPr>
      </w:pPr>
    </w:p>
    <w:p w:rsidR="00270D8F" w:rsidRDefault="00270D8F">
      <w:pPr>
        <w:pStyle w:val="Standard"/>
        <w:spacing w:line="360" w:lineRule="auto"/>
        <w:rPr>
          <w:rFonts w:ascii="Garamond" w:hAnsi="Garamond"/>
        </w:rPr>
      </w:pPr>
    </w:p>
    <w:p w:rsidR="00270D8F" w:rsidRDefault="00270D8F">
      <w:pPr>
        <w:pStyle w:val="Standard"/>
        <w:spacing w:line="360" w:lineRule="auto"/>
        <w:rPr>
          <w:rFonts w:ascii="Garamond" w:hAnsi="Garamond"/>
        </w:rPr>
      </w:pPr>
    </w:p>
    <w:p w:rsidR="00270D8F" w:rsidRDefault="00270D8F">
      <w:pPr>
        <w:pStyle w:val="Standard"/>
        <w:spacing w:line="360" w:lineRule="auto"/>
        <w:rPr>
          <w:rFonts w:ascii="Garamond" w:hAnsi="Garamond"/>
        </w:rPr>
      </w:pPr>
    </w:p>
    <w:p w:rsidR="00270D8F" w:rsidRDefault="00270D8F">
      <w:pPr>
        <w:pStyle w:val="Standard"/>
        <w:spacing w:line="360" w:lineRule="auto"/>
        <w:rPr>
          <w:rFonts w:ascii="Garamond" w:hAnsi="Garamond"/>
        </w:rPr>
      </w:pPr>
    </w:p>
    <w:p w:rsidR="00270D8F" w:rsidRDefault="00270D8F">
      <w:pPr>
        <w:pStyle w:val="Standard"/>
        <w:spacing w:line="360" w:lineRule="auto"/>
        <w:rPr>
          <w:rFonts w:ascii="Garamond" w:hAnsi="Garamond"/>
        </w:rPr>
      </w:pPr>
    </w:p>
    <w:p w:rsidR="00270D8F" w:rsidRDefault="00270D8F">
      <w:pPr>
        <w:pStyle w:val="Standard"/>
        <w:spacing w:line="360" w:lineRule="auto"/>
        <w:rPr>
          <w:rFonts w:ascii="Garamond" w:hAnsi="Garamond"/>
        </w:rPr>
      </w:pPr>
    </w:p>
    <w:p w:rsidR="00270D8F" w:rsidRDefault="00270D8F">
      <w:pPr>
        <w:pStyle w:val="Standard"/>
        <w:spacing w:line="360" w:lineRule="auto"/>
        <w:rPr>
          <w:rFonts w:ascii="Garamond" w:hAnsi="Garamond"/>
        </w:rPr>
      </w:pPr>
    </w:p>
    <w:p w:rsidR="00270D8F" w:rsidRDefault="00270D8F">
      <w:pPr>
        <w:pStyle w:val="Standard"/>
        <w:spacing w:line="360" w:lineRule="auto"/>
        <w:rPr>
          <w:rFonts w:ascii="Garamond" w:hAnsi="Garamond"/>
        </w:rPr>
      </w:pPr>
    </w:p>
    <w:p w:rsidR="00270D8F" w:rsidRDefault="00270D8F">
      <w:pPr>
        <w:pStyle w:val="Standard"/>
        <w:spacing w:line="360" w:lineRule="auto"/>
        <w:rPr>
          <w:rFonts w:ascii="Garamond" w:hAnsi="Garamond"/>
        </w:rPr>
      </w:pPr>
    </w:p>
    <w:p w:rsidR="00270D8F" w:rsidRDefault="00270D8F">
      <w:pPr>
        <w:pStyle w:val="Standard"/>
        <w:spacing w:line="360" w:lineRule="auto"/>
        <w:rPr>
          <w:rFonts w:ascii="Garamond" w:hAnsi="Garamond"/>
        </w:rPr>
      </w:pPr>
    </w:p>
    <w:p w:rsidR="00270D8F" w:rsidRDefault="00270D8F">
      <w:pPr>
        <w:pStyle w:val="Standard"/>
        <w:spacing w:line="360" w:lineRule="auto"/>
        <w:rPr>
          <w:rFonts w:ascii="Garamond" w:hAnsi="Garamond"/>
        </w:rPr>
      </w:pPr>
    </w:p>
    <w:p w:rsidR="00270D8F" w:rsidRDefault="00270D8F">
      <w:pPr>
        <w:pStyle w:val="Standard"/>
        <w:spacing w:line="360" w:lineRule="auto"/>
        <w:rPr>
          <w:rFonts w:ascii="Garamond" w:hAnsi="Garamond"/>
        </w:rPr>
      </w:pPr>
    </w:p>
    <w:p w:rsidR="00270D8F" w:rsidRDefault="00270D8F">
      <w:pPr>
        <w:pStyle w:val="Standard"/>
        <w:spacing w:line="360" w:lineRule="auto"/>
        <w:rPr>
          <w:rFonts w:ascii="Garamond" w:hAnsi="Garamond"/>
        </w:rPr>
      </w:pPr>
    </w:p>
    <w:p w:rsidR="00270D8F" w:rsidRDefault="00270D8F">
      <w:pPr>
        <w:pStyle w:val="Standard"/>
        <w:spacing w:line="360" w:lineRule="auto"/>
        <w:rPr>
          <w:rFonts w:ascii="Garamond" w:hAnsi="Garamond"/>
        </w:rPr>
      </w:pPr>
    </w:p>
    <w:sectPr w:rsidR="00270D8F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41DE" w:rsidRDefault="000B41DE">
      <w:pPr>
        <w:rPr>
          <w:rFonts w:hint="eastAsia"/>
        </w:rPr>
      </w:pPr>
      <w:r>
        <w:separator/>
      </w:r>
    </w:p>
  </w:endnote>
  <w:endnote w:type="continuationSeparator" w:id="0">
    <w:p w:rsidR="000B41DE" w:rsidRDefault="000B41D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41DE" w:rsidRDefault="000B41DE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0B41DE" w:rsidRDefault="000B41DE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270D8F"/>
    <w:rsid w:val="000B41DE"/>
    <w:rsid w:val="00270D8F"/>
    <w:rsid w:val="00710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90ECB6-ED2E-422D-8AE8-7E8C23E31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Lucida Sans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626</Words>
  <Characters>3758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Michał Kazimierczuk</dc:creator>
  <cp:lastModifiedBy>Michał Kazimierczuk</cp:lastModifiedBy>
  <cp:revision>2</cp:revision>
  <dcterms:created xsi:type="dcterms:W3CDTF">2025-04-09T08:28:00Z</dcterms:created>
  <dcterms:modified xsi:type="dcterms:W3CDTF">2025-04-09T08:28:00Z</dcterms:modified>
</cp:coreProperties>
</file>