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C77" w:rsidRDefault="002262EA">
      <w:pPr>
        <w:pStyle w:val="Standard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r>
        <w:rPr>
          <w:rFonts w:ascii="Calibri" w:hAnsi="Calibri" w:cs="Calibri"/>
          <w:b/>
          <w:bCs/>
          <w:sz w:val="22"/>
          <w:szCs w:val="22"/>
        </w:rPr>
        <w:t>Ryczałt w Kodeksie Pracy</w:t>
      </w:r>
    </w:p>
    <w:bookmarkEnd w:id="0"/>
    <w:p w:rsidR="00241C77" w:rsidRDefault="00241C77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41C77" w:rsidRDefault="002262EA">
      <w:pPr>
        <w:pStyle w:val="Standard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Ryczałt jest formą zapłaty. Pojęcie ryczałtu jako formy wynagrodzenia pojawia się w ustawie z dnia 26 czerwca 1974 r. Kodeks pracy w kilku różnych </w:t>
      </w:r>
      <w:r>
        <w:rPr>
          <w:rFonts w:ascii="Calibri" w:hAnsi="Calibri" w:cs="Calibri"/>
          <w:sz w:val="22"/>
          <w:szCs w:val="22"/>
        </w:rPr>
        <w:t>przypadkach.</w:t>
      </w:r>
    </w:p>
    <w:p w:rsidR="00241C77" w:rsidRDefault="00241C77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41C77" w:rsidRDefault="002262EA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Przede wszystkim, ustawodawca dopuszcza rozliczanie pracy w godzinach ponadwymiarowych w formie ryczałtu ustalonego przez strony. Zgodnie z art. 151</w:t>
      </w:r>
      <w:r>
        <w:rPr>
          <w:rFonts w:ascii="Calibri" w:hAnsi="Calibri" w:cs="Calibri"/>
          <w:sz w:val="22"/>
          <w:szCs w:val="22"/>
          <w:vertAlign w:val="superscript"/>
        </w:rPr>
        <w:t>1</w:t>
      </w:r>
      <w:r>
        <w:rPr>
          <w:rFonts w:ascii="Calibri" w:hAnsi="Calibri" w:cs="Calibri"/>
          <w:sz w:val="22"/>
          <w:szCs w:val="22"/>
        </w:rPr>
        <w:t xml:space="preserve"> § 4 Kodeksu pracy w stosunku do pracowników wykonujących stale pracę poza zakładem pracy, wy</w:t>
      </w:r>
      <w:r>
        <w:rPr>
          <w:rFonts w:ascii="Calibri" w:hAnsi="Calibri" w:cs="Calibri"/>
          <w:sz w:val="22"/>
          <w:szCs w:val="22"/>
        </w:rPr>
        <w:t>nagrodzenie wraz z dodatkiem za pracę , może być zastąpione ryczałtem, którego wysokość powinna odpowiadać przewidywanemu wymiarowi pracy w godzinach nadliczbowych. Ryczałt może być zatem ustalony kwotowo, w zamian za przepracowaną liczbę godzin nadliczbow</w:t>
      </w:r>
      <w:r>
        <w:rPr>
          <w:rFonts w:ascii="Calibri" w:hAnsi="Calibri" w:cs="Calibri"/>
          <w:sz w:val="22"/>
          <w:szCs w:val="22"/>
        </w:rPr>
        <w:t>ych. Wyliczenie sumy ryczałtu powinno być zgodne z regulacjami Kodeksu pracy dotyczącymi godzin nadliczbowych. Na tej podstawie pracodawca może zwiększyć kwotę ryczałtu, jeśli limit nadgodzin jest większy lub zmniejszyć obowiązki i czynności pracownika, je</w:t>
      </w:r>
      <w:r>
        <w:rPr>
          <w:rFonts w:ascii="Calibri" w:hAnsi="Calibri" w:cs="Calibri"/>
          <w:sz w:val="22"/>
          <w:szCs w:val="22"/>
        </w:rPr>
        <w:t>śli ma on za dużo pracy.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Zgodnie z wyrokiem  Sądu Najwyższego z dnia 11 czerwca 1971 roku (sygn. akt III PZP 15/71) ukształtowanie w umowie o pracę wynagrodzenia za godziny nadliczbowe w formie ryczałtu jest dopuszczalne, lecz nie pozbawia pracownika roszc</w:t>
      </w:r>
      <w:r>
        <w:rPr>
          <w:rFonts w:ascii="Calibri" w:hAnsi="Calibri" w:cs="Calibri"/>
          <w:sz w:val="22"/>
          <w:szCs w:val="22"/>
        </w:rPr>
        <w:t>zeń do wynagrodzenia za zatrudnienie w godzinach nadliczbowych, nie objęte tym ryczałtem. Umowa o pracę nie może bowiem naruszyć uprawnień pracownika wynikających z ustawowych norm czasu pracy.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Ponadto pracownicy, którzy świadczą pracę w godzinach nocnych</w:t>
      </w:r>
      <w:r>
        <w:rPr>
          <w:rFonts w:ascii="Calibri" w:hAnsi="Calibri" w:cs="Calibri"/>
          <w:sz w:val="22"/>
          <w:szCs w:val="22"/>
        </w:rPr>
        <w:t>, powinni otrzymać dodatek do wynagrodzenia. W sytuacji, w której praca w porze nocnej jest wykonywana stale, pracodawca może rozliczać pracownika w oparciu o ryczałt za pracę w godzinach nocnych.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Zgodnie z art. 151</w:t>
      </w:r>
      <w:r>
        <w:rPr>
          <w:rFonts w:ascii="Calibri" w:hAnsi="Calibri" w:cs="Calibri"/>
          <w:sz w:val="22"/>
          <w:szCs w:val="22"/>
          <w:vertAlign w:val="superscript"/>
        </w:rPr>
        <w:t>8</w:t>
      </w:r>
      <w:r>
        <w:rPr>
          <w:rFonts w:ascii="Calibri" w:hAnsi="Calibri" w:cs="Calibri"/>
          <w:sz w:val="22"/>
          <w:szCs w:val="22"/>
        </w:rPr>
        <w:t xml:space="preserve"> § 2 Kodeksu pracy w stosunku do pracown</w:t>
      </w:r>
      <w:r>
        <w:rPr>
          <w:rFonts w:ascii="Calibri" w:hAnsi="Calibri" w:cs="Calibri"/>
          <w:sz w:val="22"/>
          <w:szCs w:val="22"/>
        </w:rPr>
        <w:t>ików wykonujących pracę w porze nocnej stale poza zakładem pracy dodatek za tą pracę może być zastąpiony ryczałtem, którego wysokość odpowiada przewidywanemu wymiarowi pracy w porze nocnej.</w:t>
      </w:r>
      <w:r>
        <w:rPr>
          <w:rFonts w:ascii="Calibri" w:hAnsi="Calibri" w:cs="Calibri"/>
          <w:sz w:val="22"/>
          <w:szCs w:val="22"/>
        </w:rPr>
        <w:br/>
      </w:r>
    </w:p>
    <w:p w:rsidR="00241C77" w:rsidRDefault="002262E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Należy podkreślić, że zgodnie treścią wyroku Sądu Najwyższego z d</w:t>
      </w:r>
      <w:r>
        <w:rPr>
          <w:rFonts w:ascii="Calibri" w:hAnsi="Calibri" w:cs="Calibri"/>
          <w:sz w:val="22"/>
          <w:szCs w:val="22"/>
        </w:rPr>
        <w:t>nia 6 czerwca 2000 roku (sygn. akt I PKN 707/99): „wynagrodzenie nazwane w umowie o pracę ryczałtowym, przy jednoczesnym wskazaniu, że przysługuje w określonej kwocie za miesiąc pracy, należy traktować jako miesięczną stawkę wynagrodzenia pracownika w poję</w:t>
      </w:r>
      <w:r>
        <w:rPr>
          <w:rFonts w:ascii="Calibri" w:hAnsi="Calibri" w:cs="Calibri"/>
          <w:sz w:val="22"/>
          <w:szCs w:val="22"/>
        </w:rPr>
        <w:t>ciu art. 134 § 1-2 Kodeksu pracy”.</w:t>
      </w:r>
      <w:r>
        <w:rPr>
          <w:rFonts w:ascii="Calibri" w:hAnsi="Calibri" w:cs="Calibri"/>
          <w:sz w:val="22"/>
          <w:szCs w:val="22"/>
        </w:rPr>
        <w:br/>
      </w:r>
    </w:p>
    <w:p w:rsidR="00241C77" w:rsidRDefault="002262E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Ustawodawca od niedawna stosuje pojęcie ryczałtu w kodeksie pracy również w przypadku świadczenia pracy w formie zdalnej.   </w:t>
      </w:r>
    </w:p>
    <w:p w:rsidR="00241C77" w:rsidRDefault="00241C77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41C77" w:rsidRDefault="002262E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Pracodawca i pracownik mogą ustalić zasady wykorzystywania przez pracownika wykonującego pracę</w:t>
      </w:r>
      <w:r>
        <w:rPr>
          <w:rFonts w:ascii="Calibri" w:hAnsi="Calibri" w:cs="Calibri"/>
          <w:sz w:val="22"/>
          <w:szCs w:val="22"/>
        </w:rPr>
        <w:t xml:space="preserve"> zdalną materiałów i narzędzi pracy, w tym urządzeń technicznych, niezbędnych do wykonywania pracy zdalnej, </w:t>
      </w:r>
      <w:r>
        <w:rPr>
          <w:rFonts w:ascii="Calibri" w:hAnsi="Calibri" w:cs="Calibri"/>
          <w:sz w:val="22"/>
          <w:szCs w:val="22"/>
        </w:rPr>
        <w:lastRenderedPageBreak/>
        <w:t xml:space="preserve">niezapewnionych przez pracodawcę. W takim przypadku pracownikowi wykonującemu pracę zdalną przysługuje ekwiwalent pieniężny w wysokości ustalonej z </w:t>
      </w:r>
      <w:r>
        <w:rPr>
          <w:rFonts w:ascii="Calibri" w:hAnsi="Calibri" w:cs="Calibri"/>
          <w:sz w:val="22"/>
          <w:szCs w:val="22"/>
        </w:rPr>
        <w:t>pracodawcą.</w:t>
      </w:r>
    </w:p>
    <w:p w:rsidR="00241C77" w:rsidRDefault="002262E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Zgodnie z art. 67 §  4 kodeksu pracy obowiązek pokrycia kosztów pracy zdalnej przez pracownika  albo wypłaty ekwiwalentu za korzystanie ze sprzętu do pracy zdalnej niezapewnionego przez pracodawcę  może być zastąpiony obowiązkiem wypłaty ryczał</w:t>
      </w:r>
      <w:r>
        <w:rPr>
          <w:rFonts w:ascii="Calibri" w:hAnsi="Calibri" w:cs="Calibri"/>
          <w:sz w:val="22"/>
          <w:szCs w:val="22"/>
        </w:rPr>
        <w:t>tu, którego wysokość odpowiada przewidywanym kosztom ponoszonym przez pracownika w związku z wykonywaniem pracy zdalnej.</w:t>
      </w:r>
    </w:p>
    <w:p w:rsidR="00241C77" w:rsidRDefault="002262E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Przy ustalaniu wysokości ekwiwalentu albo ryczałtu, bierze się pod uwagę w szczególności normy zużycia materiałów i narzędzi pracy, w t</w:t>
      </w:r>
      <w:r>
        <w:rPr>
          <w:rFonts w:ascii="Calibri" w:hAnsi="Calibri" w:cs="Calibri"/>
          <w:sz w:val="22"/>
          <w:szCs w:val="22"/>
        </w:rPr>
        <w:t>ym urządzeń technicznych, ich udokumentowane ceny rynkowe oraz ilość materiału wykorzystanego na potrzeby pracodawcy i ceny rynkowe tego materiału, a także normy zużycia energii elektrycznej oraz koszty usług telekomunikacyjnych.</w:t>
      </w:r>
    </w:p>
    <w:p w:rsidR="00241C77" w:rsidRDefault="002262E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Obowiązujące przepisy nie </w:t>
      </w:r>
      <w:r>
        <w:rPr>
          <w:rFonts w:ascii="Calibri" w:hAnsi="Calibri" w:cs="Calibri"/>
          <w:sz w:val="22"/>
          <w:szCs w:val="22"/>
        </w:rPr>
        <w:t xml:space="preserve">precyzują szczegółowych zasad ustalania wysokości ryczałtu za pracę zdalną, nie wskazują minimalnych ani maksymalnych kwot ryczałtu wypłacanego pracownikom wykonującym pracę zdalnie, pozostawiając w tym zakresie swobodę w podejmowaniu decyzji pracodawcom. </w:t>
      </w:r>
    </w:p>
    <w:p w:rsidR="00241C77" w:rsidRDefault="002262EA">
      <w:pPr>
        <w:pStyle w:val="Standard"/>
        <w:spacing w:line="360" w:lineRule="auto"/>
        <w:jc w:val="right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Wiktor Krukowski</w:t>
      </w:r>
    </w:p>
    <w:p w:rsidR="00241C77" w:rsidRDefault="002262EA">
      <w:pPr>
        <w:pStyle w:val="Standard"/>
        <w:spacing w:line="360" w:lineRule="auto"/>
        <w:jc w:val="right"/>
        <w:rPr>
          <w:rFonts w:hint="eastAsia"/>
        </w:rPr>
      </w:pPr>
      <w:r>
        <w:rPr>
          <w:rFonts w:ascii="Calibri" w:hAnsi="Calibri" w:cs="Calibri"/>
          <w:b/>
          <w:sz w:val="22"/>
          <w:szCs w:val="22"/>
        </w:rPr>
        <w:t>Prawnik Zarządu Regionu</w:t>
      </w:r>
      <w:r>
        <w:rPr>
          <w:rFonts w:ascii="Calibri" w:hAnsi="Calibri" w:cs="Calibri"/>
          <w:b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br/>
      </w:r>
    </w:p>
    <w:p w:rsidR="00241C77" w:rsidRDefault="00241C77">
      <w:pPr>
        <w:pStyle w:val="Standard"/>
        <w:rPr>
          <w:rFonts w:hint="eastAsia"/>
        </w:rPr>
      </w:pPr>
    </w:p>
    <w:p w:rsidR="00241C77" w:rsidRDefault="00241C77">
      <w:pPr>
        <w:pStyle w:val="Standard"/>
        <w:rPr>
          <w:rFonts w:hint="eastAsia"/>
        </w:rPr>
      </w:pPr>
    </w:p>
    <w:p w:rsidR="00241C77" w:rsidRDefault="00241C77">
      <w:pPr>
        <w:pStyle w:val="Standard"/>
        <w:rPr>
          <w:rFonts w:hint="eastAsia"/>
        </w:rPr>
      </w:pPr>
    </w:p>
    <w:p w:rsidR="00241C77" w:rsidRDefault="00241C77">
      <w:pPr>
        <w:pStyle w:val="Standard"/>
        <w:rPr>
          <w:rFonts w:hint="eastAsia"/>
        </w:rPr>
      </w:pPr>
    </w:p>
    <w:sectPr w:rsidR="00241C7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62EA" w:rsidRDefault="002262EA">
      <w:pPr>
        <w:rPr>
          <w:rFonts w:hint="eastAsia"/>
        </w:rPr>
      </w:pPr>
      <w:r>
        <w:separator/>
      </w:r>
    </w:p>
  </w:endnote>
  <w:endnote w:type="continuationSeparator" w:id="0">
    <w:p w:rsidR="002262EA" w:rsidRDefault="002262E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62EA" w:rsidRDefault="002262E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2262EA" w:rsidRDefault="002262E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41C77"/>
    <w:rsid w:val="002262EA"/>
    <w:rsid w:val="00241C77"/>
    <w:rsid w:val="0083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43420-9232-47EB-8B8E-B3BBEC2D4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Kazimierczuk</dc:creator>
  <cp:lastModifiedBy>Michał Kazimierczuk</cp:lastModifiedBy>
  <cp:revision>2</cp:revision>
  <dcterms:created xsi:type="dcterms:W3CDTF">2025-04-09T08:28:00Z</dcterms:created>
  <dcterms:modified xsi:type="dcterms:W3CDTF">2025-04-09T08:28:00Z</dcterms:modified>
</cp:coreProperties>
</file>